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ECA" w:rsidRPr="00495597" w:rsidRDefault="00AE617D">
      <w:pPr>
        <w:rPr>
          <w:lang w:val="en-US"/>
        </w:rPr>
      </w:pPr>
      <w:hyperlink r:id="rId5" w:history="1">
        <w:r w:rsidR="00CD528B" w:rsidRPr="00AF7897">
          <w:rPr>
            <w:rStyle w:val="Hyperlink"/>
            <w:lang w:val="en-US"/>
          </w:rPr>
          <w:t>https</w:t>
        </w:r>
        <w:r w:rsidR="00CD528B" w:rsidRPr="00495597">
          <w:rPr>
            <w:rStyle w:val="Hyperlink"/>
            <w:lang w:val="en-US"/>
          </w:rPr>
          <w:t>://</w:t>
        </w:r>
        <w:r w:rsidR="00CD528B" w:rsidRPr="00AF7897">
          <w:rPr>
            <w:rStyle w:val="Hyperlink"/>
            <w:lang w:val="en-US"/>
          </w:rPr>
          <w:t>www</w:t>
        </w:r>
        <w:r w:rsidR="00CD528B" w:rsidRPr="00495597">
          <w:rPr>
            <w:rStyle w:val="Hyperlink"/>
            <w:lang w:val="en-US"/>
          </w:rPr>
          <w:t>.</w:t>
        </w:r>
        <w:r w:rsidR="00CD528B" w:rsidRPr="00AF7897">
          <w:rPr>
            <w:rStyle w:val="Hyperlink"/>
            <w:lang w:val="en-US"/>
          </w:rPr>
          <w:t>energia</w:t>
        </w:r>
        <w:r w:rsidR="00CD528B" w:rsidRPr="00495597">
          <w:rPr>
            <w:rStyle w:val="Hyperlink"/>
            <w:lang w:val="en-US"/>
          </w:rPr>
          <w:t>.</w:t>
        </w:r>
        <w:r w:rsidR="00CD528B" w:rsidRPr="00AF7897">
          <w:rPr>
            <w:rStyle w:val="Hyperlink"/>
            <w:lang w:val="en-US"/>
          </w:rPr>
          <w:t>ru</w:t>
        </w:r>
        <w:r w:rsidR="00CD528B" w:rsidRPr="00495597">
          <w:rPr>
            <w:rStyle w:val="Hyperlink"/>
            <w:lang w:val="en-US"/>
          </w:rPr>
          <w:t>/</w:t>
        </w:r>
        <w:r w:rsidR="00CD528B" w:rsidRPr="00AF7897">
          <w:rPr>
            <w:rStyle w:val="Hyperlink"/>
            <w:lang w:val="en-US"/>
          </w:rPr>
          <w:t>ru</w:t>
        </w:r>
        <w:r w:rsidR="00CD528B" w:rsidRPr="00495597">
          <w:rPr>
            <w:rStyle w:val="Hyperlink"/>
            <w:lang w:val="en-US"/>
          </w:rPr>
          <w:t>/</w:t>
        </w:r>
        <w:r w:rsidR="00CD528B" w:rsidRPr="00AF7897">
          <w:rPr>
            <w:rStyle w:val="Hyperlink"/>
            <w:lang w:val="en-US"/>
          </w:rPr>
          <w:t>news</w:t>
        </w:r>
        <w:r w:rsidR="00CD528B" w:rsidRPr="00495597">
          <w:rPr>
            <w:rStyle w:val="Hyperlink"/>
            <w:lang w:val="en-US"/>
          </w:rPr>
          <w:t>/</w:t>
        </w:r>
        <w:r w:rsidR="00CD528B" w:rsidRPr="00AF7897">
          <w:rPr>
            <w:rStyle w:val="Hyperlink"/>
            <w:lang w:val="en-US"/>
          </w:rPr>
          <w:t>news</w:t>
        </w:r>
        <w:r w:rsidR="00CD528B" w:rsidRPr="00495597">
          <w:rPr>
            <w:rStyle w:val="Hyperlink"/>
            <w:lang w:val="en-US"/>
          </w:rPr>
          <w:t>-2010/</w:t>
        </w:r>
        <w:r w:rsidR="00CD528B" w:rsidRPr="00AF7897">
          <w:rPr>
            <w:rStyle w:val="Hyperlink"/>
            <w:lang w:val="en-US"/>
          </w:rPr>
          <w:t>news</w:t>
        </w:r>
        <w:r w:rsidR="00CD528B" w:rsidRPr="00495597">
          <w:rPr>
            <w:rStyle w:val="Hyperlink"/>
            <w:lang w:val="en-US"/>
          </w:rPr>
          <w:t>_11-03.</w:t>
        </w:r>
        <w:r w:rsidR="00CD528B" w:rsidRPr="00AF7897">
          <w:rPr>
            <w:rStyle w:val="Hyperlink"/>
            <w:lang w:val="en-US"/>
          </w:rPr>
          <w:t>html</w:t>
        </w:r>
      </w:hyperlink>
    </w:p>
    <w:p w:rsidR="00CD528B" w:rsidRPr="00495597" w:rsidRDefault="00CD528B">
      <w:pPr>
        <w:rPr>
          <w:lang w:val="en-US"/>
        </w:rPr>
      </w:pPr>
    </w:p>
    <w:p w:rsidR="00CD528B" w:rsidRDefault="00CD528B" w:rsidP="00CD528B">
      <w:pPr>
        <w:pStyle w:val="Heading1"/>
      </w:pPr>
      <w:r>
        <w:t>Новости</w:t>
      </w:r>
    </w:p>
    <w:p w:rsidR="00CD528B" w:rsidRDefault="00CD528B" w:rsidP="00CD528B">
      <w:pPr>
        <w:pStyle w:val="Heading3"/>
      </w:pPr>
      <w:r>
        <w:t>03.11.2010. РКК "Энергия" им. С.П. Королёва,</w:t>
      </w:r>
      <w:r>
        <w:br/>
        <w:t>г. Королёв Московской области</w:t>
      </w:r>
    </w:p>
    <w:p w:rsidR="00CD528B" w:rsidRDefault="00CD528B" w:rsidP="00CD528B">
      <w:pPr>
        <w:pStyle w:val="Heading4"/>
      </w:pPr>
      <w:r>
        <w:t>ОАО "РКК "Энергия"</w:t>
      </w:r>
    </w:p>
    <w:p w:rsidR="00CD528B" w:rsidRDefault="00CD528B" w:rsidP="00CD528B">
      <w:pPr>
        <w:pStyle w:val="Heading4"/>
      </w:pPr>
      <w:r>
        <w:t>Проектная декларация</w:t>
      </w:r>
    </w:p>
    <w:p w:rsidR="00CD528B" w:rsidRDefault="00CD528B" w:rsidP="00CD528B">
      <w:pPr>
        <w:pStyle w:val="Heading4"/>
      </w:pPr>
      <w:r>
        <w:t>строительства многоэтажного жилого дома №1(строительный) и подземного гаража-стоянки на 453 машиноместа в жилом микрорайоне 1-ой очереди строительства по адресу: Московская область, г. Королев, ул. Пионерская, дом 30.</w:t>
      </w:r>
    </w:p>
    <w:p w:rsidR="00CD528B" w:rsidRDefault="00CD528B" w:rsidP="00CD528B">
      <w:pPr>
        <w:pStyle w:val="NormalWeb"/>
      </w:pPr>
      <w:r>
        <w:t>г. Королев Московской обл.</w:t>
      </w:r>
      <w:r>
        <w:br/>
        <w:t>3 ноября две тысячи десятого года</w:t>
      </w:r>
    </w:p>
    <w:p w:rsidR="00CD528B" w:rsidRDefault="00CD528B" w:rsidP="00CD528B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"/>
        <w:gridCol w:w="2505"/>
        <w:gridCol w:w="6530"/>
      </w:tblGrid>
      <w:tr w:rsidR="00CD528B" w:rsidTr="00CD528B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 Королева" (ОАО "РКК "Энергия").</w:t>
            </w:r>
            <w:r>
              <w:br/>
              <w:t>Место нахождения и почтовый адрес Корпорации: 141070, ул. Ленина, д.4А,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- Свидетельство о государственной регистрации юридического лица №1430 от 06 июня 1994 года.</w:t>
            </w:r>
            <w:r>
              <w:br/>
              <w:t>- Свидетельство о внесении записи в Единый государственный реестр юридических лиц, зарегистрированных до 1 июля 2002г. от 21.10.2002 г.</w:t>
            </w:r>
            <w:r>
              <w:br/>
              <w:t xml:space="preserve">- Свидетельство о постановке на учет в Федеральной налоговой службе. ОГРН 1025002032538; ИНН 5018033937; КПП 501801001. 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года. Протокол №18.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09.09.2010 г. приведен в приложении №1. 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В течение последних трех лет Корпорацией многоквартирные жилые дома не строились.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Свидетельство №082-2010-5018033937 о допуске к работам, которые оказывают влияние на безопасность объектов капитального строительства от 25.06.2010 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1. Прибыль за 6 месяцев 2010г. - 511 816 тыс. рублей.</w:t>
            </w:r>
            <w:r>
              <w:br/>
              <w:t>2. Дебиторская задолженность на 30.06.2010г. - 9 450 023 тыс. рублей.</w:t>
            </w:r>
            <w:r>
              <w:br/>
              <w:t>3. Кредиторская задолженность на 30.06.2010г. - 17 541 848 тыс. рублей.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Цель строительства, этапы и сроки его реализации, результаты государственной экспертизы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1 этап - Подготовка исходно-разрешительной документации, разработка, согласование и утверждение в установленном порядке градостроительного заключения по размещению объекта, проекта планировки и проектной документации 1-ой очереди строительства.Получение разрешения на производство строительно-монтажных работ.</w:t>
            </w:r>
            <w:r>
              <w:br/>
              <w:t>2 этап - Строительство и получение разрешения на ввод в эксплуатацию многоэтажного жилого дома с подземными гаражами-стоянками. Строительство многоэтажного жилого дома №1(стр.) с подземными гаражами-стоянками с целью обеспечения жильем сотрудников Корпорации по адресу: Московская область, г. Королев, ул. Пионерская, д. 30.</w:t>
            </w:r>
            <w:r>
              <w:br/>
              <w:t>Положительное заключение №50-1-5-0939-10 от 15.10.2010 года, утвержденное ГУ МО "Мособлгосэкспертиза".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 xml:space="preserve">Разрешение на строительство ж.д.№1: №RU50302000-353 от 02.11.2010 года, срок действия разрешения - до 02.05.2012 года. </w:t>
            </w:r>
            <w:r>
              <w:br/>
              <w:t xml:space="preserve">Разрешение на строительство подземного гаража-стоянки на 453 м/м: №RU5002000-352 от 02.11.2010 года, срок действия разрешения - до 01.04.2012 года. 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Собственник земельного участка общей площадью 20,52 га - ОАО "РКК "Энергия". Адрес земельного участка: Московская область, г. Королев, ул. Пионерская, д.30.</w:t>
            </w:r>
            <w:r>
              <w:br/>
              <w:t>Свидетельство о государственной регистрации права от 24.06.2010 г.</w:t>
            </w:r>
            <w:r>
              <w:br/>
              <w:t>Кадастровый номер 50:45:0040517:9.</w:t>
            </w:r>
            <w:r>
              <w:br/>
              <w:t>Жилой дом №1 с подземным гаражом-стоянкой на 453м/м размещается в южной части земельного участка вдоль ул. Лермонтова. Sучастка - 22 686,6м</w:t>
            </w:r>
            <w:r>
              <w:rPr>
                <w:vertAlign w:val="superscript"/>
              </w:rPr>
              <w:t>2</w:t>
            </w:r>
            <w:r>
              <w:t>.</w:t>
            </w:r>
            <w:r>
              <w:br/>
              <w:t>Границы участка:</w:t>
            </w:r>
            <w:r>
              <w:br/>
              <w:t>- с севера - территория второй очереди строительства;</w:t>
            </w:r>
            <w:r>
              <w:br/>
              <w:t>- с востока - садовые участки СНТ "Энергия";</w:t>
            </w:r>
            <w:r>
              <w:br/>
              <w:t>- с юга - ГНП "Лосиный остров" и территория ОАО "РКК "Энергия";</w:t>
            </w:r>
            <w:r>
              <w:br/>
              <w:t>- с запада - ул. Лермонтова, а далее квартал малоэтажной застройки "Финского поселка".</w:t>
            </w:r>
            <w:r>
              <w:br/>
            </w:r>
            <w:r>
              <w:br/>
              <w:t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Местоположение многоквартирного дома и иных объектов и их описание в соответствии с проектной документацией, на основании которой выдано 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 xml:space="preserve">1. Строящийся многоэтажный жилой дом №1 с первым нежилым этажом (помещения офисного назначения) и подземным гаражом-стоянкой на 453 м/м расположен по адресу: Московская обл., г.Королев, ул. Пионерская, д.30 на 3-ей территории ОАО "РКК "Энергия" на юге центрального планировочного района г. Королева. Жилые части здания отделены от нежилых помещений первого этажа и имеют отдельные входы. </w:t>
            </w:r>
            <w:r>
              <w:br/>
              <w:t>Здание жилого дома №1 панельное по тип. сер. П44Т производства ДСК-1, 10-секционное, переменной этажности (три секции 12-этажные, четыре секции 15-этажные и три секции 17-этажные).</w:t>
            </w:r>
            <w:r>
              <w:br/>
              <w:t>Конструктивная схема здания - перекрестно-стеновая с несущими внутренними продольными и поперечными стенами.</w:t>
            </w:r>
            <w:r>
              <w:br/>
              <w:t>Фундаменты под жилым домом - монолитная железобетонная плита, толщиной 600 мм по подбетонке толщиной 120 мм.</w:t>
            </w:r>
            <w:r>
              <w:br/>
              <w:t>Наружные стены надземной части - 3-х слойные сборные навесные панели толщиной 280 мм.</w:t>
            </w:r>
            <w:r>
              <w:br/>
              <w:t>Внутренние стены - сборные железобетонные панели, толщиной - 80 мм. Кровля - безрулонная, покрыта мастикой "Футура-флекс" с внутренним водостоком.</w:t>
            </w:r>
            <w:r>
              <w:br/>
            </w:r>
            <w:r>
              <w:br/>
              <w:t>2. 2х-ярусный неотапливаемый подземный гараж-стоянка на 453 м/м с манежной схемой расстановки автомобилей.</w:t>
            </w:r>
            <w:r>
              <w:br/>
              <w:t>Конструктивная схема - каркасно-стеновая из монолитного железобетона. Сетка пилонов 6,0х7,3 м и 6,0х5,5 м.</w:t>
            </w:r>
            <w:r>
              <w:br/>
              <w:t>Фундаменты - монолитная железобетонная плита, толщиной 500 мм по подбетонке толщиной 100 мм.</w:t>
            </w:r>
            <w:r>
              <w:br/>
              <w:t>Наружные стены - монолитные железобетонные толщиной 300 мм, утеплитель пеноплекс толщиной 100 мм.</w:t>
            </w:r>
            <w:r>
              <w:br/>
              <w:t>Стены внутренние несущие - монолитные железобетонные толщиной 250 мм. Перекрытия и покрытие - монолитные железобетонные толщиной 250 мм. Крыша - плоская эксплуатируемая.</w:t>
            </w:r>
            <w:r>
              <w:br/>
              <w:t>На эксплуатируемой кровле автостоянки предусматривается устройство газонов, детских площадок, площадок для отдыха населения.</w:t>
            </w:r>
            <w:r>
              <w:br/>
              <w:t xml:space="preserve">Гараж-стоянка на 453 м/мест запроектирован с юго-восточной стороны жилого дома №1 с надземной частью для въезда-выезда автомашин и помещением охраны. </w:t>
            </w:r>
            <w:r>
              <w:br/>
              <w:t>Подземная часть высотой этажа - 2,8м с габаритными размерами в плане 86,0х117,0 м.</w:t>
            </w:r>
            <w:r>
              <w:br/>
              <w:t>Запроектированы вентшахты, электрощитовые, насосная станция пожаротушения.</w:t>
            </w:r>
            <w:r>
              <w:br/>
              <w:t>2-ой уровень - на отметке -5,90 м на 252 машиноместа.</w:t>
            </w:r>
            <w:r>
              <w:br/>
              <w:t>1-й уровень - на отметке -3,10 м на 201 машиноместо.</w:t>
            </w:r>
            <w:r>
              <w:br/>
              <w:t>Надземная часть - высота по парапету 3,3 м от планировочной отметки земли 0,00.</w:t>
            </w:r>
            <w:r>
              <w:br/>
              <w:t>Въезд-выезд - с использованием двухпутной рампы, через подъемно-опускные ворота с электроприводом.</w:t>
            </w:r>
            <w:r>
              <w:br/>
              <w:t xml:space="preserve">Связь между этажами осуществляется посредством лестниц с выходом наружу. 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Количество в составе строящегося дома самостоятельных частей (квартир, гаражей и иных объектов), передаваемых участникам долевого строительства, описание технических характеристик самостоятельных частей в соответствии с проектной документацией.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1. В строящемся многоэтажном жилом доме предусмотрено 548 квартир, в том числе однокомнатных - 178; двухкомнатных - 192; трехкомнатных - 178. Общая площадь квартир (по типовому проекту) 32 114,5 м</w:t>
            </w:r>
            <w:r>
              <w:rPr>
                <w:vertAlign w:val="superscript"/>
              </w:rPr>
              <w:t>2</w:t>
            </w:r>
            <w:r>
              <w:t>.</w:t>
            </w:r>
            <w:r>
              <w:br/>
              <w:t>Общая площадь квартир (с учетом балконов и лоджий) 32 388,5 м</w:t>
            </w:r>
            <w:r>
              <w:rPr>
                <w:vertAlign w:val="superscript"/>
              </w:rPr>
              <w:t>2</w:t>
            </w:r>
            <w:r>
              <w:t xml:space="preserve">. </w:t>
            </w:r>
            <w:r>
              <w:br/>
              <w:t>Высота этажей от пола до пола 2,8 м.</w:t>
            </w:r>
            <w:r>
              <w:br/>
              <w:t xml:space="preserve">В каждой секции предусматривается 2 лифта грузоподъемностью 400 кг и 630 кг. Всего 20 лифтов. </w:t>
            </w:r>
            <w:r>
              <w:br/>
              <w:t>2. Гараж-стоянка на 453 м/м.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Функциональное назначение нежилых помещений в многоквартирном доме, не входящих в состав общего имущества.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15 нежилых офисных помещений общей площадью 1 574,0 м</w:t>
            </w:r>
            <w:r>
              <w:rPr>
                <w:vertAlign w:val="superscript"/>
              </w:rPr>
              <w:t>2</w:t>
            </w:r>
            <w:r>
              <w:t xml:space="preserve"> расположены на первом этаже, парковочные места в гараже-стоянке на 453 м/м.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7.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Состав общего имущества в доме или ином объекте недвижимости, которое будет находиться в общей долевой собственности участников долевого строительства после получения разрешения на ввод в эксплуатацию указанных объектов недвижимости и передачи объектов долевого строительства участникам долевого строительства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В общей долевой собственности участников будут находиться помещения общего пользования (лестничные клетки, коридоры, помещения, в которых расположено оборудование и системы инженерного обеспечения здания, в т.ч. лифты, машинные отделения лифтов, венткамеры, электрощитовые, мусоропроводы, дымовые шахты, индивидуальные тепловые пункты, узлы учета, помещения ОДС, земельный участок, на котором находится жилой дом с элементами озеленения и благоустройством). Доля каждого собственника в общем имуществе определяется пропорционально общей площади помещений, приобретаемых в собственность. Фактическая доля будет определена после изготовления технического паспорта на здание жилого дома и гаражей.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8.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Ориентировочный срок сдачи: жилой дом №1</w:t>
            </w:r>
            <w:r>
              <w:br/>
              <w:t>- третий квартал 2012 г.</w:t>
            </w:r>
            <w:r>
              <w:br/>
              <w:t>- гараж-стоянка на 453 машиноместа - третий квартал 2012 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Государственного архитектурно-строительного надзора по Московской области;</w:t>
            </w:r>
            <w:r>
              <w:br/>
              <w:t>Управление гражданской защиты ГУПР и ООС по Московской области;</w:t>
            </w:r>
            <w:r>
              <w:br/>
              <w:t>Управление социальной защиты населения по Московской области;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 по строительству "нулевого цикла" и гаражам;</w:t>
            </w:r>
            <w:r>
              <w:br/>
              <w:t>- ГП МО "Институт "Мосгражданпроект" - генеральный проектировщик.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9.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Возможные финансовые и прочие риски при осуществлении проекта строительства и мерах по добровольному страхованию застройщиком таких рисков.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Финансовые и прочие риски при осуществлении проекта строительства носят общераспространенный характер, присущий всем видам предпринимательской деятельности;</w:t>
            </w:r>
            <w:r>
              <w:br/>
              <w:t>- повышение цен на строительные материалы;</w:t>
            </w:r>
            <w:r>
              <w:br/>
              <w:t>- повышение цен на подрядные и субподрядные работы.</w:t>
            </w:r>
            <w:r>
              <w:br/>
              <w:t>Вероятность финансовых и иных рисков при осуществлении проекта строительства может быть обусловлена только возникновением форс-мажорных обстоятельств, таких как: стихийные бедствия (землятрясения, наводнения) и пр.</w:t>
            </w:r>
            <w:r>
              <w:br/>
              <w:t>Добровольного страхования Застройщиком финансовых рисков нет.</w:t>
            </w:r>
            <w:r>
              <w:br/>
              <w:t>Договор страхования строительно-монтажных рисков №706/10 с ООО "Страховой центр "Спутник"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9.1.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Планируемая стоимость строительства (создания) многоквартирного дома и (или) иного объекта недвижимости.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• Стоимость строительства ж.д.№1 - 1 600 000 т.р.</w:t>
            </w:r>
            <w:r>
              <w:br/>
              <w:t>• Стоимость строительства гаража-стоянки на 453 м/м 250 000 т.р.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10.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Перечень организации, осуществляющих основные строительно-монтажные и другие работы (подрядчики)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Подрядчик:</w:t>
            </w:r>
            <w:r>
              <w:br/>
              <w:t>- ОАО "Домостроительный комбинат №1".</w:t>
            </w:r>
            <w:r>
              <w:br/>
              <w:t>Юридический и фактический адрес: 123007, г. Москва, 3-й Хорошевский проезд, д.3.</w:t>
            </w:r>
            <w:r>
              <w:br/>
              <w:t xml:space="preserve">- ООО "ПКФ Стройбетон". </w:t>
            </w:r>
            <w:r>
              <w:br/>
              <w:t>Юридический адрес: 141070, Московская обл., г. Королев, Ярославский проезд, д.12.</w:t>
            </w:r>
            <w:r>
              <w:br/>
              <w:t>Почтовый адрес: 141070, Московская обл., г. Королев, ул. Калинина, д.15, а/я 107.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11.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Способ обеспечения исполнения обязательств застройщика по договору.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 xml:space="preserve">В обеспечение исполнения обязательств застройщика, считается находящимся в залоге право собственности на земельный участок и строящиеся на этом участке объекты недвижимости (статьи 13-15 214-ФЗ РФ от 29.12.2004г.): </w:t>
            </w:r>
            <w:r>
              <w:br/>
              <w:t>- жилой дом №1;</w:t>
            </w:r>
            <w:r>
              <w:br/>
              <w:t>- гараж-стоянка на 453м/м.</w:t>
            </w:r>
          </w:p>
        </w:tc>
      </w:tr>
      <w:tr w:rsidR="00CD528B" w:rsidTr="00CD528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12.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>Иные договора и сделки, на основании которых привлекаются денежные средства для строительства (создания) многоквартирного дома и (или) иного объекта недвижимости, за исключением привлечения денежных средств на основании договоров долевого участия.</w:t>
            </w:r>
          </w:p>
        </w:tc>
        <w:tc>
          <w:tcPr>
            <w:tcW w:w="0" w:type="auto"/>
            <w:vAlign w:val="center"/>
            <w:hideMark/>
          </w:tcPr>
          <w:p w:rsidR="00CD528B" w:rsidRDefault="00CD528B">
            <w:pPr>
              <w:rPr>
                <w:sz w:val="24"/>
                <w:szCs w:val="24"/>
              </w:rPr>
            </w:pPr>
            <w:r>
              <w:t xml:space="preserve">1. Договор привлечения финансовых средств от 23.03.10г. ООО "Комметпром". </w:t>
            </w:r>
            <w:r>
              <w:br/>
              <w:t xml:space="preserve">Юридический адрес: 107996 ГПС-6 г. Москва, ул. Щепкина, д.42. </w:t>
            </w:r>
          </w:p>
        </w:tc>
      </w:tr>
    </w:tbl>
    <w:p w:rsidR="00CD528B" w:rsidRDefault="00CD528B" w:rsidP="00CD528B">
      <w:pPr>
        <w:pStyle w:val="NormalWeb"/>
        <w:jc w:val="center"/>
      </w:pPr>
      <w:r>
        <w:rPr>
          <w:noProof/>
        </w:rPr>
        <w:drawing>
          <wp:inline distT="0" distB="0" distL="0" distR="0">
            <wp:extent cx="5637530" cy="856615"/>
            <wp:effectExtent l="0" t="0" r="1270" b="635"/>
            <wp:docPr id="4" name="Picture 4" descr="https://www.energia.ru/ru/news/news-2010/im/photo_11-03-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0/im/photo_11-03-05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3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32805" cy="7617460"/>
            <wp:effectExtent l="0" t="0" r="0" b="2540"/>
            <wp:docPr id="3" name="Picture 3" descr="https://www.energia.ru/ru/news/news-2010/im/photo_11-03-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0/im/photo_11-03-0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61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096" w:rsidRDefault="006E3096" w:rsidP="006E3096">
      <w:pPr>
        <w:pStyle w:val="NormalWeb"/>
        <w:jc w:val="center"/>
      </w:pPr>
      <w:r>
        <w:rPr>
          <w:noProof/>
        </w:rPr>
        <w:drawing>
          <wp:inline distT="0" distB="0" distL="0" distR="0">
            <wp:extent cx="6667500" cy="9172575"/>
            <wp:effectExtent l="0" t="0" r="0" b="9525"/>
            <wp:docPr id="5" name="Picture 5" descr="https://www.energia.ru/ru/news/news-2011/im/photo_02-2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photo_02-2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917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8FE" w:rsidRPr="00AE617D" w:rsidRDefault="002348FE" w:rsidP="002348FE">
      <w:pPr>
        <w:pStyle w:val="NormalWeb"/>
        <w:rPr>
          <w:lang w:val="en-US"/>
        </w:rPr>
      </w:pPr>
    </w:p>
    <w:p w:rsidR="002E682D" w:rsidRDefault="002E682D" w:rsidP="002E682D">
      <w:pPr>
        <w:pStyle w:val="NormalWeb"/>
        <w:jc w:val="center"/>
      </w:pPr>
      <w:bookmarkStart w:id="0" w:name="_GoBack"/>
      <w:r>
        <w:rPr>
          <w:noProof/>
        </w:rPr>
        <w:drawing>
          <wp:inline distT="0" distB="0" distL="0" distR="0">
            <wp:extent cx="6667500" cy="9172575"/>
            <wp:effectExtent l="0" t="0" r="0" b="9525"/>
            <wp:docPr id="10" name="Picture 10" descr="https://www.energia.ru/ru/news/news-2011/im/photo_08-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photo_08-01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917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E6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87C"/>
    <w:rsid w:val="0011087C"/>
    <w:rsid w:val="002348FE"/>
    <w:rsid w:val="002E682D"/>
    <w:rsid w:val="00354E4E"/>
    <w:rsid w:val="00495597"/>
    <w:rsid w:val="006E3096"/>
    <w:rsid w:val="009313F4"/>
    <w:rsid w:val="00A00ECA"/>
    <w:rsid w:val="00AE617D"/>
    <w:rsid w:val="00B143B9"/>
    <w:rsid w:val="00CD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143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B143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B143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43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143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B143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14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3B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143B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54E4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143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B143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B143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43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143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B143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14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3B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143B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54E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energia.ru/ru/news/news-2010/news_11-03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1874</Words>
  <Characters>10685</Characters>
  <Application>Microsoft Office Word</Application>
  <DocSecurity>0</DocSecurity>
  <Lines>89</Lines>
  <Paragraphs>25</Paragraphs>
  <ScaleCrop>false</ScaleCrop>
  <Company>WWL Corp.</Company>
  <LinksUpToDate>false</LinksUpToDate>
  <CharactersWithSpaces>12534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10</cp:revision>
  <dcterms:created xsi:type="dcterms:W3CDTF">2018-03-23T10:02:00Z</dcterms:created>
  <dcterms:modified xsi:type="dcterms:W3CDTF">2018-03-26T09:58:00Z</dcterms:modified>
</cp:coreProperties>
</file>